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E44611" w14:paraId="432C25E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6AFC177" w14:textId="77777777" w:rsidR="00E44611" w:rsidRDefault="00846E2A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5F9DC8C5" w14:textId="77777777" w:rsidR="00E44611" w:rsidRDefault="00846E2A">
            <w:pPr>
              <w:spacing w:after="0" w:line="240" w:lineRule="auto"/>
            </w:pPr>
            <w:r>
              <w:t>17423</w:t>
            </w:r>
          </w:p>
        </w:tc>
      </w:tr>
      <w:tr w:rsidR="00E44611" w14:paraId="44DE232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FB6DDD2" w14:textId="77777777" w:rsidR="00E44611" w:rsidRDefault="00846E2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75687F07" w14:textId="77777777" w:rsidR="00E44611" w:rsidRDefault="00846E2A">
            <w:pPr>
              <w:spacing w:after="0" w:line="240" w:lineRule="auto"/>
            </w:pPr>
            <w:r>
              <w:t xml:space="preserve">OBRTNIČKA ŠKOLA </w:t>
            </w:r>
          </w:p>
        </w:tc>
      </w:tr>
      <w:tr w:rsidR="00E44611" w14:paraId="56702A2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8F799DD" w14:textId="77777777" w:rsidR="00E44611" w:rsidRDefault="00846E2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DD66F13" w14:textId="77777777" w:rsidR="00E44611" w:rsidRDefault="00846E2A">
            <w:pPr>
              <w:spacing w:after="0" w:line="240" w:lineRule="auto"/>
            </w:pPr>
            <w:r>
              <w:t>31</w:t>
            </w:r>
          </w:p>
        </w:tc>
      </w:tr>
    </w:tbl>
    <w:p w14:paraId="280E1CEB" w14:textId="77777777" w:rsidR="00E44611" w:rsidRDefault="00846E2A">
      <w:r>
        <w:br/>
      </w:r>
    </w:p>
    <w:p w14:paraId="40783BC9" w14:textId="77777777" w:rsidR="00E44611" w:rsidRDefault="00846E2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5F9A74BF" w14:textId="77777777" w:rsidR="00E44611" w:rsidRDefault="00846E2A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437D9E5A" w14:textId="77777777" w:rsidR="00E44611" w:rsidRDefault="00846E2A">
      <w:pPr>
        <w:spacing w:line="240" w:lineRule="auto"/>
        <w:jc w:val="center"/>
      </w:pPr>
      <w:r>
        <w:rPr>
          <w:b/>
          <w:sz w:val="28"/>
        </w:rPr>
        <w:t>I - VI 2026.</w:t>
      </w:r>
    </w:p>
    <w:p w14:paraId="4530A9CD" w14:textId="77777777" w:rsidR="00E44611" w:rsidRDefault="00E44611"/>
    <w:p w14:paraId="76EF05C5" w14:textId="77777777" w:rsidR="00E44611" w:rsidRDefault="00846E2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4ABD50C6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623A1D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D09FA8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9E72A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62F1E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A6B49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F2C41B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A31ED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3EF7E32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7D22A7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A7576E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D1ECFA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7D20BD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535.240,83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5DDE7C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608.247,03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2CFD23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113,6</w:t>
            </w:r>
          </w:p>
        </w:tc>
      </w:tr>
      <w:tr w:rsidR="00E44611" w14:paraId="0D7F81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16AC4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F9ABC1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F010E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1825F8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620.488,99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755132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600.664,61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B8A42F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96,8</w:t>
            </w:r>
          </w:p>
        </w:tc>
      </w:tr>
      <w:tr w:rsidR="00E44611" w14:paraId="1623E53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ECB8C" w14:textId="77777777" w:rsidR="00E44611" w:rsidRDefault="00E446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F3A3CF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E0100B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D459A6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0257A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7.582,42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2A69A7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44611" w14:paraId="66021F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1D35A2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9F9311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9DFE5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6F4389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7EB59D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0A0F84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4611" w14:paraId="7724D0F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882E88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6E234C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CF93E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02A92D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20DB52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8AA691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4611" w14:paraId="4B896E3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211E3" w14:textId="77777777" w:rsidR="00E44611" w:rsidRDefault="00E446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251019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E778BB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0F7C1F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19711B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3.937,75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14C2FF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44611" w14:paraId="3E2AD7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68CBF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6267E1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38238A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BB84843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91818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E1DD2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4611" w14:paraId="3EB576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9E38BE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F385ED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otplate zajmova (šifre </w:t>
            </w:r>
            <w:r>
              <w:rPr>
                <w:sz w:val="18"/>
              </w:rPr>
              <w:t>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6591B8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93F14B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9CC5F3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62F749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E44611" w14:paraId="29EB701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3A592" w14:textId="77777777" w:rsidR="00E44611" w:rsidRDefault="00E446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43B1A7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02FE75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E8771E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2E7E9D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BBEFCE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E44611" w14:paraId="3936E1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38841D" w14:textId="77777777" w:rsidR="00E44611" w:rsidRDefault="00E446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31313D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3ACFCB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428866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7768E0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3.644,67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FF3F93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096E9E18" w14:textId="77777777" w:rsidR="00E44611" w:rsidRDefault="00E44611">
      <w:pPr>
        <w:spacing w:after="0"/>
      </w:pPr>
    </w:p>
    <w:p w14:paraId="73B3C500" w14:textId="77777777" w:rsidR="00E44611" w:rsidRDefault="00846E2A">
      <w:pPr>
        <w:jc w:val="both"/>
      </w:pPr>
      <w:r>
        <w:t>Obrtnička škola u Opatiji proračunski je korisnik čiji su prihodi i rashodi, u pravilu, određeni visinom i strukturom sredstava doznačenih od strane Ministarstva znanosti, obrazovanja i mladih, Primorsko-goranske županije i Grada Opatije. Financijsko poslo</w:t>
      </w:r>
      <w:r>
        <w:t>vanje određuju i povremeni prihodi ostvareni obavljanjem vlastite djelatnosti (najam prostora, kamate) te sredstva ostvarena sufinanciranjem od strane učenika, putničke agencije angažirane za realizaciju izleta učenika, donacijama.   </w:t>
      </w:r>
    </w:p>
    <w:p w14:paraId="52997960" w14:textId="77777777" w:rsidR="00E44611" w:rsidRDefault="00846E2A">
      <w:pPr>
        <w:jc w:val="both"/>
      </w:pPr>
      <w:r>
        <w:lastRenderedPageBreak/>
        <w:t>Izvještajno razdoblje</w:t>
      </w:r>
      <w:r>
        <w:t xml:space="preserve"> obilježio je prelazak na poslovanje u potpunosti preko jedinstvenog računa proračuna Primorsko-goranske županije, u kontekstu kojega je dana 04.03.2026. godine zatvoren dosadašnji poslovni račun Škole (IBAN HR0824020061100111028). K tome, primjena Praviln</w:t>
      </w:r>
      <w:r>
        <w:t>ika o proračunskom računovodstvu i Računskom planu (NN 158/23; 154/24) generirala je stvaranje metodološkog manjka prihoda, a po izvorima financiranja iz nadležnog i nenadležnog proračuna. Naime, suprotno dosadašnjoj dugogodišnjoj praksi, rashodi za zadnji</w:t>
      </w:r>
      <w:r>
        <w:t xml:space="preserve"> mjesec izvještajnog razdoblja više se ne evidentiraju kao obveza izvještajnog, a rashod budućeg razdoblja. Predmetna metoda knjiženja u tom trenutku rezultira tzv. metodološkim manjkom, koji manjak bude pokriven prihodom ostvarenim već početkom slijedećeg</w:t>
      </w:r>
      <w:r>
        <w:t xml:space="preserve"> poslovnog razdoblja.  </w:t>
      </w:r>
    </w:p>
    <w:p w14:paraId="6EF24957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3F48449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47B06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08F1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1E2D24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B67201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40657C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8206B6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0AFFAC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7C31D7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90EEE9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Tekuće pomoći proračunskim korisnicima iz proračuna koji im </w:t>
            </w:r>
            <w:r>
              <w:rPr>
                <w:sz w:val="18"/>
              </w:rPr>
              <w:t>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2A000A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505D98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470.147,80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236D04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542.608,14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1A1E0D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115,4</w:t>
            </w:r>
          </w:p>
        </w:tc>
      </w:tr>
    </w:tbl>
    <w:p w14:paraId="19C15120" w14:textId="0909CF78" w:rsidR="00E44611" w:rsidRDefault="00846E2A">
      <w:r>
        <w:t>Nenadležni proračuni: MZOM (539.232,14), Ministarstvo rada za projekt besplatnih zaliha menstrualnih higijenskih potrepština (1.206,00) i Grad Opatija (2.170,00)</w:t>
      </w:r>
      <w:r w:rsidR="009F781C">
        <w:t>.</w:t>
      </w:r>
    </w:p>
    <w:p w14:paraId="5868EB36" w14:textId="77777777" w:rsidR="009F781C" w:rsidRDefault="009F781C"/>
    <w:p w14:paraId="69265B43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2B947A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88102C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16B56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DF85C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B09D8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</w:t>
            </w:r>
            <w:r>
              <w:rPr>
                <w:b/>
                <w:sz w:val="18"/>
              </w:rPr>
              <w:t>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556F2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55396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4AF050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AFE53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43BA845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B32B1E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6413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8A05BF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0B6725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80F2D4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15,3</w:t>
            </w:r>
          </w:p>
        </w:tc>
      </w:tr>
    </w:tbl>
    <w:p w14:paraId="7C2E05F1" w14:textId="4C144E6F" w:rsidR="00E44611" w:rsidRDefault="00846E2A">
      <w:r>
        <w:t>Radi prelaska na poslovanje putem jedinstvenog sustava županijske riznice, dana 04.03.2026. zatvoren je poslovni račun Škole, što se odrazilo i na visinu ostvarenog prihoda od kamata.</w:t>
      </w:r>
    </w:p>
    <w:p w14:paraId="4211CDAB" w14:textId="77777777" w:rsidR="009F781C" w:rsidRDefault="009F781C"/>
    <w:p w14:paraId="7BBD7B42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56FC9B1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2E9C8C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86D38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2C653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3F34D8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</w:t>
            </w:r>
            <w:r>
              <w:rPr>
                <w:b/>
                <w:sz w:val="18"/>
              </w:rPr>
              <w:t>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B226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C2A9E5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1E2A6E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7C170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24C2F8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58A9C4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759FD7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4.880,00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81DA91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1.502,00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AAAFE3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30,8</w:t>
            </w:r>
          </w:p>
        </w:tc>
      </w:tr>
    </w:tbl>
    <w:p w14:paraId="565F9EF1" w14:textId="77777777" w:rsidR="00E44611" w:rsidRDefault="00846E2A">
      <w:pPr>
        <w:jc w:val="both"/>
      </w:pPr>
      <w:r>
        <w:t>Prihode na podskupini 652 čine prihodi na ime sufinanciranja povećanih troškova izvođenja praktičnih vježbi učenika, prihodi za posebne namjene (izleti učenika koji rashod za uslugu prijevoza financiraju učenici, a dnevnice nastavnika u pratnji putničke ag</w:t>
      </w:r>
      <w:r>
        <w:t>encije) te prihodi na ime izdavanja duplikata svjedodžbi. U izvještajnom razdoblju nije bilo izleta za koje su učenici financirali uslugu prijevoza na izlete, u odnosu na isto razdoblje prethodne godine. </w:t>
      </w:r>
    </w:p>
    <w:p w14:paraId="0D53BF77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04E23FA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4FC7D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73375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3DE67F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06B8E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EB031F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E3A29D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2B36346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16CC4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FA69FC1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4B6F08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F3710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201A48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9D2235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BEC66A" w14:textId="400BEEB1" w:rsidR="00E44611" w:rsidRDefault="00846E2A">
      <w:r>
        <w:t>U izvještajnom je razdoblju ostvaren jedan najam prostora frizerskog praktikuma.</w:t>
      </w:r>
    </w:p>
    <w:p w14:paraId="24D0C06A" w14:textId="77777777" w:rsidR="009F781C" w:rsidRDefault="009F781C"/>
    <w:p w14:paraId="67A0DE91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3BFD5B8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73D24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414719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516CB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3774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3A261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936EF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38DEE2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DD2D8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7E58CD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216A04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ED1F77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DD0B3F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675,49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0542C1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318,6</w:t>
            </w:r>
          </w:p>
        </w:tc>
      </w:tr>
    </w:tbl>
    <w:p w14:paraId="3575D960" w14:textId="77725A40" w:rsidR="00E44611" w:rsidRDefault="00846E2A" w:rsidP="003C0003">
      <w:pPr>
        <w:jc w:val="both"/>
      </w:pPr>
      <w:r>
        <w:t xml:space="preserve">Donacije se realiziraju povremeno. U izvještajnom razdoblju realizirana je donacija sitnog inventara od Salon Premium iz Zagreba te donacija materijala za vježbe kozmetičara od Afrodita </w:t>
      </w:r>
      <w:proofErr w:type="spellStart"/>
      <w:r>
        <w:t>Commerc</w:t>
      </w:r>
      <w:proofErr w:type="spellEnd"/>
      <w:r>
        <w:t xml:space="preserve"> iz Zagreba.</w:t>
      </w:r>
    </w:p>
    <w:p w14:paraId="78FD4ED8" w14:textId="77777777" w:rsidR="009F781C" w:rsidRDefault="009F781C" w:rsidP="003C0003">
      <w:pPr>
        <w:jc w:val="both"/>
      </w:pPr>
    </w:p>
    <w:p w14:paraId="61AB7FE6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27FA7F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568D0C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DCDD1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D9735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1E7C49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92C08D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F1DEBB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2AFE90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A98B0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1907FDD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8618A6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6C9091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F2D29A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66C88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E2F532B" w14:textId="04E0F0B9" w:rsidR="00E44611" w:rsidRDefault="00846E2A" w:rsidP="003C0003">
      <w:pPr>
        <w:jc w:val="both"/>
      </w:pPr>
      <w:r>
        <w:t>Početkom poslovne godine ostvarena je od KONAMI servisa računala iz Matulja donacija računalne opreme u vrijednosti od 3.500 eura.</w:t>
      </w:r>
    </w:p>
    <w:p w14:paraId="447F993C" w14:textId="77777777" w:rsidR="009F781C" w:rsidRDefault="009F781C" w:rsidP="003C0003">
      <w:pPr>
        <w:jc w:val="both"/>
      </w:pPr>
    </w:p>
    <w:p w14:paraId="590C2297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12D37BE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7F2D1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4B0E58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23EAE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DB64AB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B1A43A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</w:t>
            </w:r>
            <w:r>
              <w:rPr>
                <w:b/>
                <w:sz w:val="18"/>
              </w:rPr>
              <w:t>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F61012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491011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45F077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26D601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ECB6DB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2FEF3D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60.000,05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DF9BE6A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59.668,75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ADEBE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99,4</w:t>
            </w:r>
          </w:p>
        </w:tc>
      </w:tr>
    </w:tbl>
    <w:p w14:paraId="0D1DFFD8" w14:textId="17398C70" w:rsidR="00E44611" w:rsidRDefault="00846E2A" w:rsidP="003C0003">
      <w:pPr>
        <w:jc w:val="both"/>
      </w:pPr>
      <w:r>
        <w:t>Od osnivača su realizirani prihodi za redovno poslovanje (sredstava decentralizacije), hitnu intervenciju na sanaciji zida i vrata te prihodi za financiranje programa iznad standarda (natjecanja, školski kurikulum, pomoćnici u nastavi).</w:t>
      </w:r>
    </w:p>
    <w:p w14:paraId="15CD6D25" w14:textId="77777777" w:rsidR="009F781C" w:rsidRDefault="009F781C" w:rsidP="003C0003">
      <w:pPr>
        <w:jc w:val="both"/>
      </w:pPr>
    </w:p>
    <w:p w14:paraId="5C7C49E1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05FDA61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B2AA9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</w:t>
            </w:r>
            <w:r>
              <w:rPr>
                <w:b/>
                <w:sz w:val="18"/>
              </w:rPr>
              <w:t xml:space="preserve">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105AC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7765C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8842D5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78C06A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7A96F1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55D67A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D9BB03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E84931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prekovremeni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4CB43E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AB8764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14.115,27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75CB24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8.698,05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FEE651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61,6</w:t>
            </w:r>
          </w:p>
        </w:tc>
      </w:tr>
    </w:tbl>
    <w:p w14:paraId="17521952" w14:textId="28C6AF94" w:rsidR="00E44611" w:rsidRDefault="00846E2A" w:rsidP="003C0003">
      <w:pPr>
        <w:jc w:val="both"/>
      </w:pPr>
      <w:r>
        <w:t xml:space="preserve">U izvještajnom je razdoblju potreba za prekovremenim radom bila manja u odnosu na isto </w:t>
      </w:r>
      <w:proofErr w:type="spellStart"/>
      <w:r>
        <w:t>razdobolje</w:t>
      </w:r>
      <w:proofErr w:type="spellEnd"/>
      <w:r>
        <w:t xml:space="preserve"> prethodne godine.</w:t>
      </w:r>
    </w:p>
    <w:p w14:paraId="694A8506" w14:textId="77777777" w:rsidR="009F781C" w:rsidRDefault="009F781C" w:rsidP="003C0003">
      <w:pPr>
        <w:jc w:val="both"/>
      </w:pPr>
    </w:p>
    <w:p w14:paraId="3ECB4809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09FDDE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7538B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6CBFE8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0AFAE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83EAB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98FC4A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3786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0E5B3B7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91178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300773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9AC57B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A96DF84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14.901,55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09B101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15.746,09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D85C57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105,7</w:t>
            </w:r>
          </w:p>
        </w:tc>
      </w:tr>
    </w:tbl>
    <w:p w14:paraId="01CAA694" w14:textId="6ADE2339" w:rsidR="00E44611" w:rsidRDefault="00846E2A" w:rsidP="003C0003">
      <w:pPr>
        <w:jc w:val="both"/>
      </w:pPr>
      <w:r>
        <w:t xml:space="preserve">Zaposlenicima su u prvoj polovici tekuće poslovne godine isplaćene </w:t>
      </w:r>
      <w:proofErr w:type="spellStart"/>
      <w:r>
        <w:t>uskrsnice</w:t>
      </w:r>
      <w:proofErr w:type="spellEnd"/>
      <w:r>
        <w:t>, regres za godišnji odmor te jedna jubilarna nagrada za 35 godina rada.</w:t>
      </w:r>
    </w:p>
    <w:p w14:paraId="66FA3F0F" w14:textId="77777777" w:rsidR="009F781C" w:rsidRDefault="009F781C" w:rsidP="003C0003">
      <w:pPr>
        <w:jc w:val="both"/>
      </w:pPr>
    </w:p>
    <w:p w14:paraId="03566941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0CB144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0888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2797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981B9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C26D58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E9D2B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</w:t>
            </w:r>
            <w:r>
              <w:rPr>
                <w:b/>
                <w:sz w:val="18"/>
              </w:rPr>
              <w:t>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447E63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5C88DA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9526FF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05B7E4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 putovanja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6C6298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0F46F9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4.011,44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22997E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5.687,92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676B37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141,8</w:t>
            </w:r>
          </w:p>
        </w:tc>
      </w:tr>
    </w:tbl>
    <w:p w14:paraId="4166AEA6" w14:textId="29521E4F" w:rsidR="00E44611" w:rsidRDefault="00846E2A" w:rsidP="003C0003">
      <w:pPr>
        <w:jc w:val="both"/>
      </w:pPr>
      <w:r>
        <w:t>Sukladno potrebama poslovanja, realiziran je veći broj službenih putovanja u odnosu na isto razdoblje prethodne godine.</w:t>
      </w:r>
    </w:p>
    <w:p w14:paraId="4E6179D7" w14:textId="77777777" w:rsidR="009F781C" w:rsidRDefault="009F781C" w:rsidP="003C0003">
      <w:pPr>
        <w:jc w:val="both"/>
      </w:pPr>
    </w:p>
    <w:p w14:paraId="0BB9AA24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1F1D80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C0EE68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8708FD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709978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C55FA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B394E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</w:t>
            </w:r>
            <w:r>
              <w:rPr>
                <w:b/>
                <w:sz w:val="18"/>
              </w:rPr>
              <w:t>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1224E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1D1E246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D43095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58A84E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3DB2EC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05C180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DD4D6D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601,00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F0273D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372,9</w:t>
            </w:r>
          </w:p>
        </w:tc>
      </w:tr>
    </w:tbl>
    <w:p w14:paraId="4700828B" w14:textId="77777777" w:rsidR="00E44611" w:rsidRDefault="00846E2A" w:rsidP="003C0003">
      <w:pPr>
        <w:jc w:val="both"/>
      </w:pPr>
      <w:r>
        <w:t xml:space="preserve">U odnosu na isto razdoblje prethodne godine, u izvještajnom je razdoblju provedeno i osposobljavanje novozaposlenih radnika (za rad na siguran način,  pružanje prve pomoći,..), porasle su i cijene kotizacija za razne seminare, a provedena je i edukacija u </w:t>
      </w:r>
      <w:r>
        <w:t>okviru projekta Obnovi Osvježi Održi, što je rezultiralo znatno većim predmetnih rashodom.  </w:t>
      </w:r>
    </w:p>
    <w:p w14:paraId="799CEC3A" w14:textId="77777777" w:rsidR="00E44611" w:rsidRDefault="00E44611"/>
    <w:p w14:paraId="141F7631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69FBF08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5F8DD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28FF9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E129E2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06C3D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152F49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C3D62A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497290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4690C2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2C1AAD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081B2B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70810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187,00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CD4240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737594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178,9</w:t>
            </w:r>
          </w:p>
        </w:tc>
      </w:tr>
    </w:tbl>
    <w:p w14:paraId="52C92770" w14:textId="0C8C0F57" w:rsidR="00E44611" w:rsidRDefault="00846E2A">
      <w:pPr>
        <w:jc w:val="both"/>
      </w:pPr>
      <w:r>
        <w:t xml:space="preserve">Za realizaciju praćenja učenika na praktičnoj nastavi u salonima, zaduženim je nastavnicama isplaćena naknada za </w:t>
      </w:r>
      <w:proofErr w:type="spellStart"/>
      <w:r>
        <w:t>loko</w:t>
      </w:r>
      <w:proofErr w:type="spellEnd"/>
      <w:r>
        <w:t xml:space="preserve"> vožnju, kao i kućnom majstoru za odlazak u nabavke materijala, kojih je u izvještajnom razdoblju, sukladno potrebama poslovanja, bilo nešt</w:t>
      </w:r>
      <w:r>
        <w:t>o više, u odnosu na isto razdoblje prethodne godine.</w:t>
      </w:r>
    </w:p>
    <w:p w14:paraId="74353519" w14:textId="77777777" w:rsidR="009F781C" w:rsidRDefault="009F781C">
      <w:pPr>
        <w:jc w:val="both"/>
      </w:pPr>
    </w:p>
    <w:p w14:paraId="74699432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3EE0A7F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67431E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6A09A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CC1174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C6835C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AA0954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34E27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325CA9D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98025F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9FE256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BABF55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4ADB4C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5.216,68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CBCE05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6.763,37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AB86BC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129,6</w:t>
            </w:r>
          </w:p>
        </w:tc>
      </w:tr>
    </w:tbl>
    <w:p w14:paraId="630A2855" w14:textId="3842FEA3" w:rsidR="00E44611" w:rsidRDefault="00846E2A">
      <w:pPr>
        <w:jc w:val="both"/>
      </w:pPr>
      <w:r>
        <w:t xml:space="preserve">Na osnovnom računu 3222 evidentira se rashod na ime materijala potrebnog za izvođenje vježbi učenika kozmetičara, pedikera i frizera. Realizirani rashodi rezultat su ostvarenih nabavki, a na </w:t>
      </w:r>
      <w:proofErr w:type="spellStart"/>
      <w:r>
        <w:t>incijativu</w:t>
      </w:r>
      <w:proofErr w:type="spellEnd"/>
      <w:r>
        <w:t xml:space="preserve"> voditeljica praktikuma.</w:t>
      </w:r>
    </w:p>
    <w:p w14:paraId="7D2F851C" w14:textId="77777777" w:rsidR="009F781C" w:rsidRDefault="009F781C">
      <w:pPr>
        <w:jc w:val="both"/>
      </w:pPr>
    </w:p>
    <w:p w14:paraId="5C4A32B8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5CC080F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889F3A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</w:t>
            </w:r>
            <w:r>
              <w:rPr>
                <w:b/>
                <w:sz w:val="18"/>
              </w:rPr>
              <w:t>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513A82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E36D1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C99C23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77A4A2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3C45B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60C797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1F8BFF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4A9C70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Energija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60569F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7D4C0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5.205,77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D98C10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7.586,23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F1223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145,7</w:t>
            </w:r>
          </w:p>
        </w:tc>
      </w:tr>
    </w:tbl>
    <w:p w14:paraId="3BEC741C" w14:textId="23127178" w:rsidR="00E44611" w:rsidRDefault="00846E2A">
      <w:pPr>
        <w:jc w:val="both"/>
      </w:pPr>
      <w:r>
        <w:t>Cijene energenata (električna energija, lož ulje) su porasle, no isto tako je u prvim mjesecima poslovne godine evidentiran znatan porast potrošenih kilovata. Utvrđeno je da je u tim mjesecima bilo izrazito hladno, a istovremeno, uslijed uvođenja modularne</w:t>
      </w:r>
      <w:r>
        <w:t xml:space="preserve"> nastave, u praktikumu frizera, u kojem je </w:t>
      </w:r>
      <w:proofErr w:type="spellStart"/>
      <w:r>
        <w:t>centalno</w:t>
      </w:r>
      <w:proofErr w:type="spellEnd"/>
      <w:r>
        <w:t xml:space="preserve"> grijanje na struju, učenici prvih razreda borave puno dulje, pa je potrebno i dulje grijanje predmetnog prostora, nego li je to bilo potrebno ranijih godina. </w:t>
      </w:r>
    </w:p>
    <w:p w14:paraId="1597CA75" w14:textId="77777777" w:rsidR="009F781C" w:rsidRDefault="009F781C">
      <w:pPr>
        <w:jc w:val="both"/>
      </w:pPr>
    </w:p>
    <w:p w14:paraId="23FE017F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2C6BFE5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8C1803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8211BE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EF7A05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8DD0B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B4D6EC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A5F31A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1C583EF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93DE6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B9888C7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C42D88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13A254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476E3F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1.205,14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D38C9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140,6</w:t>
            </w:r>
          </w:p>
        </w:tc>
      </w:tr>
    </w:tbl>
    <w:p w14:paraId="774599BD" w14:textId="77777777" w:rsidR="00E44611" w:rsidRDefault="00846E2A" w:rsidP="003C0003">
      <w:pPr>
        <w:jc w:val="both"/>
      </w:pPr>
      <w:r>
        <w:t xml:space="preserve">Ostvarena je donacija sitnog </w:t>
      </w:r>
      <w:proofErr w:type="spellStart"/>
      <w:r>
        <w:t>invetara</w:t>
      </w:r>
      <w:proofErr w:type="spellEnd"/>
      <w:r>
        <w:t>, što je utjecalo na visinu, u izvještajnom razdoblju, realiziranog rashoda, odnosno prihoda na ime istog.</w:t>
      </w:r>
    </w:p>
    <w:p w14:paraId="4427CF70" w14:textId="77777777" w:rsidR="00E44611" w:rsidRDefault="00E44611"/>
    <w:p w14:paraId="464DD0BB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41CC1F7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D75FE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B465DE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B4D244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F31B4C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6B0CF8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</w:t>
            </w:r>
            <w:r>
              <w:rPr>
                <w:b/>
                <w:sz w:val="18"/>
              </w:rPr>
              <w:t>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DD888C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710AF5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E06323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1480B10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DD1405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55C7EE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E3AD36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78A97D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EF9BEBE" w14:textId="7B3EB761" w:rsidR="00E44611" w:rsidRDefault="00846E2A" w:rsidP="003C0003">
      <w:pPr>
        <w:jc w:val="both"/>
      </w:pPr>
      <w:r>
        <w:t>Radna obuća i odjeća nabavlja se prema potrebi. U izvještajnom razdoblju je kućnom majstoru osigurana radna obuća. </w:t>
      </w:r>
    </w:p>
    <w:p w14:paraId="300DEC04" w14:textId="77777777" w:rsidR="009F781C" w:rsidRDefault="009F781C" w:rsidP="003C0003">
      <w:pPr>
        <w:jc w:val="both"/>
      </w:pPr>
    </w:p>
    <w:p w14:paraId="61E6BA60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1F4BDF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8E9FC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856513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8385E8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B506CB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D2A112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</w:t>
            </w:r>
            <w:r>
              <w:rPr>
                <w:b/>
                <w:sz w:val="18"/>
              </w:rPr>
              <w:t>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79E4D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06A3C54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B7AC64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5D4F8B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telefona, interneta, pošte i prijevoza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C171D2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8558A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8.280,84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365737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2.740,52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BCA8C7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33,1</w:t>
            </w:r>
          </w:p>
        </w:tc>
      </w:tr>
    </w:tbl>
    <w:p w14:paraId="1CB4CE89" w14:textId="77777777" w:rsidR="00E44611" w:rsidRDefault="00846E2A" w:rsidP="003C0003">
      <w:pPr>
        <w:jc w:val="both"/>
      </w:pPr>
      <w:r>
        <w:t xml:space="preserve">Realizirano je znatno manje izleta na ime </w:t>
      </w:r>
      <w:proofErr w:type="spellStart"/>
      <w:r>
        <w:t>izvanučioničke</w:t>
      </w:r>
      <w:proofErr w:type="spellEnd"/>
      <w:r>
        <w:t xml:space="preserve"> nastave, u odnosu na isto razdoblje prethodne godine, što se odrazilo i na manji rashod na ime usluge prijevoza.</w:t>
      </w:r>
    </w:p>
    <w:p w14:paraId="5F640EB2" w14:textId="77777777" w:rsidR="00E44611" w:rsidRDefault="00E44611"/>
    <w:p w14:paraId="1C94B3F5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3E173F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88A0F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6522F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FA219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74D83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956226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E3113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06F49A6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FC0047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A35879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85C1AB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63A14D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5.685,25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2FDB32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3.852,99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8C6EE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67,8</w:t>
            </w:r>
          </w:p>
        </w:tc>
      </w:tr>
    </w:tbl>
    <w:p w14:paraId="01C52F95" w14:textId="77777777" w:rsidR="00E44611" w:rsidRDefault="00846E2A" w:rsidP="003C0003">
      <w:pPr>
        <w:jc w:val="both"/>
      </w:pPr>
      <w:r>
        <w:t xml:space="preserve">U istom razdoblju prethodne godine realizirano je nekoliko (neplaniranih) hitnih </w:t>
      </w:r>
      <w:proofErr w:type="spellStart"/>
      <w:r>
        <w:t>intevencija</w:t>
      </w:r>
      <w:proofErr w:type="spellEnd"/>
      <w:r>
        <w:t xml:space="preserve"> na centralnom grijanju, kojih aktivnosti u izvještajnom razdoblju nije bilo.</w:t>
      </w:r>
    </w:p>
    <w:p w14:paraId="04BF0F85" w14:textId="77777777" w:rsidR="00E44611" w:rsidRDefault="00E44611"/>
    <w:p w14:paraId="30C31120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0817A1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4BEC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696F2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96CC5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EEBDDF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</w:t>
            </w:r>
            <w:r>
              <w:rPr>
                <w:b/>
                <w:sz w:val="18"/>
              </w:rPr>
              <w:t xml:space="preserve">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F6FAF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069F3C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2D54FF8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B0458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D26D3F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B5FC74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2BDA4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520BB4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2.035,03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97CB09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159,0</w:t>
            </w:r>
          </w:p>
        </w:tc>
      </w:tr>
    </w:tbl>
    <w:p w14:paraId="6E6B1B07" w14:textId="77777777" w:rsidR="00E44611" w:rsidRDefault="00846E2A" w:rsidP="003C0003">
      <w:pPr>
        <w:jc w:val="both"/>
      </w:pPr>
      <w:r>
        <w:t>Škola osigurava zakonom propisane preventivne preglede (sistematski pregledi, sanitarne knjižice, kućni majstor,...), sukladno dinamici potreba za istim. U izvještajnom je razdoblju potreba za istim bila nešto veća u odnosu na isto razdoblje prethodne godi</w:t>
      </w:r>
      <w:r>
        <w:t>ne. </w:t>
      </w:r>
    </w:p>
    <w:p w14:paraId="1DF8BE3A" w14:textId="77777777" w:rsidR="00E44611" w:rsidRDefault="00E44611"/>
    <w:p w14:paraId="6AA67316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137320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9FFCB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6B855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A6773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2F870F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D33F4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9EC188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2444EC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A43B6C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88893C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584F5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CA93C2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552,62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932A68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1.385,31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CEA2B6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250,7</w:t>
            </w:r>
          </w:p>
        </w:tc>
      </w:tr>
    </w:tbl>
    <w:p w14:paraId="40B5935B" w14:textId="21241EF6" w:rsidR="00E44611" w:rsidRDefault="00846E2A">
      <w:pPr>
        <w:jc w:val="both"/>
      </w:pPr>
      <w:r>
        <w:t xml:space="preserve">U prvom polugodištu tekuće poslovne godine Škola je imala potrebu za angažiranjem ovlaštene pravne osobe za izradom Procjene postojećeg stanja i analize rizika i Plana </w:t>
      </w:r>
      <w:proofErr w:type="spellStart"/>
      <w:r>
        <w:t>sigurnoste</w:t>
      </w:r>
      <w:proofErr w:type="spellEnd"/>
      <w:r>
        <w:t xml:space="preserve"> te su, u okviru projekta Obnovi Osvježi Održi, provedene dvije radionice za u</w:t>
      </w:r>
      <w:r>
        <w:t>čenike pod nazivom Tekstil raspetljan, kojih potreba, pa tako ni rashoda, nije bilo u istom razdoblju prethodne godine.</w:t>
      </w:r>
    </w:p>
    <w:p w14:paraId="01C47E1D" w14:textId="77777777" w:rsidR="009F781C" w:rsidRDefault="009F781C">
      <w:pPr>
        <w:jc w:val="both"/>
      </w:pPr>
    </w:p>
    <w:p w14:paraId="6ABB3DD3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3B499F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3FAA56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76613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7B2DE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9CCAFC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241E1C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A3D5B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3F3830B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E6D90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3DE104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EE16AB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E86B26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636027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184,49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6C9FB9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205,1</w:t>
            </w:r>
          </w:p>
        </w:tc>
      </w:tr>
    </w:tbl>
    <w:p w14:paraId="7A910635" w14:textId="77777777" w:rsidR="00E44611" w:rsidRDefault="00846E2A">
      <w:pPr>
        <w:jc w:val="both"/>
      </w:pPr>
      <w:r>
        <w:t>Predmetna se grupa rashoda odnosi na odlazak učenika na natjecanja, u situacijama kada je za učenike potrebno organizirati smještaj i/ili prijevoz te visina realizacije ove vrste rashoda ovisi o potrebama provođenja ove aktivnosti.</w:t>
      </w:r>
    </w:p>
    <w:p w14:paraId="28A81112" w14:textId="77777777" w:rsidR="00E44611" w:rsidRDefault="00E44611"/>
    <w:p w14:paraId="52A3B615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0102701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8D1599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</w:t>
            </w:r>
            <w:r>
              <w:rPr>
                <w:b/>
                <w:sz w:val="18"/>
              </w:rPr>
              <w:t>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8283D8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8D9A6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28986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2B9D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8F3C2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29ADC4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93F63B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5A0C47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95D2BE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C2796D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691,96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B8F921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892,06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3A391C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128,9</w:t>
            </w:r>
          </w:p>
        </w:tc>
      </w:tr>
    </w:tbl>
    <w:p w14:paraId="21FDDADC" w14:textId="77777777" w:rsidR="00E44611" w:rsidRDefault="00846E2A">
      <w:pPr>
        <w:jc w:val="both"/>
      </w:pPr>
      <w:r>
        <w:t>U izvještajnom razdoblju nagrađeni su uspješni učenici i nastavnici (knjige, cvijeće). K tome, realiziran je i rashod na ime postizanja funkcionalnosti interijera za potrebe nastave (zavjese), kojeg rashoda nije bilo prethodne godine.</w:t>
      </w:r>
    </w:p>
    <w:p w14:paraId="22C1E0C6" w14:textId="77777777" w:rsidR="00E44611" w:rsidRDefault="00E44611"/>
    <w:p w14:paraId="02D8BDE9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6A71BC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FA4D0A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</w:t>
            </w:r>
            <w:r>
              <w:rPr>
                <w:b/>
                <w:sz w:val="18"/>
              </w:rPr>
              <w:t xml:space="preserve">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6A57B8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40B95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2D0F86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B94A9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6F649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664C40F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632D27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C8005D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Bankarske usluge i usluge platnog prometa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2EFC3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74EEF8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0085D8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1BA315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56,9</w:t>
            </w:r>
          </w:p>
        </w:tc>
      </w:tr>
    </w:tbl>
    <w:p w14:paraId="35EBD1C9" w14:textId="77777777" w:rsidR="00E44611" w:rsidRDefault="00846E2A">
      <w:r>
        <w:t>Dana 04.03.2026. zatvoren je poslovni račun Škole, s kojim datumom je prestalo i generiranje rashoda na ime vođenja platnog prometa. </w:t>
      </w:r>
    </w:p>
    <w:p w14:paraId="32DBE855" w14:textId="77777777" w:rsidR="00E44611" w:rsidRDefault="00E44611"/>
    <w:p w14:paraId="396CD654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25BD93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71901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36EF96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23E7C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3F196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7FFD3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</w:t>
            </w:r>
            <w:r>
              <w:rPr>
                <w:b/>
                <w:sz w:val="18"/>
              </w:rPr>
              <w:t>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EE36EA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55DC97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C18CC9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42DF46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7C5BC4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D95827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1.165,50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17A3DD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62B01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0C7EC13" w14:textId="77777777" w:rsidR="00E44611" w:rsidRDefault="00846E2A">
      <w:pPr>
        <w:jc w:val="both"/>
      </w:pPr>
      <w:r>
        <w:t>Projekt osiguranja besplatnih zaliha higijenskih menstrualnih potrepština u prvom polugodištu 2025. godine bio je realiziran, u cijelosti, a u visini sredstava doznačenih putem osnivača, od strane Ministarstva nadležnog za predmetnih projekt. Realizacija o</w:t>
      </w:r>
      <w:r>
        <w:t>vog projekta u 2026. godini uslijedila je početkom mjeseca srpnja.</w:t>
      </w:r>
    </w:p>
    <w:p w14:paraId="30B86288" w14:textId="77777777" w:rsidR="00E44611" w:rsidRDefault="00E44611"/>
    <w:p w14:paraId="2CA8B5C7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2E6068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5259E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4EC442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CC08AB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75692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4FDF9F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2CA8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3B193B4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A405F5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8564C5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Obračunati </w:t>
            </w:r>
            <w:r>
              <w:rPr>
                <w:sz w:val="18"/>
              </w:rPr>
              <w:t>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778819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ACF933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74.097,49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11CB9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81.928,27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17E783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</w:tbl>
    <w:p w14:paraId="7108EE37" w14:textId="77777777" w:rsidR="00E44611" w:rsidRDefault="00846E2A">
      <w:r>
        <w:t>Obračunate prihode poslovanja čine plaća zaposlenika i naknada po ugovoru o djelu vanjskog suradnika, a za lipanj 2026. godine.</w:t>
      </w:r>
    </w:p>
    <w:p w14:paraId="7EA7B6F4" w14:textId="77777777" w:rsidR="00E44611" w:rsidRDefault="00E44611"/>
    <w:p w14:paraId="03229BF7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5E45FB0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606CE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FFEFE6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2F39D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68BC8E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166A5A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</w:t>
            </w:r>
            <w:r>
              <w:rPr>
                <w:b/>
                <w:sz w:val="18"/>
              </w:rPr>
              <w:t xml:space="preserve">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FAE593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5D55685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BB8E49" w14:textId="77777777" w:rsidR="00E44611" w:rsidRDefault="00E446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4E6B72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7CE7F4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DB58EC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EF5B69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3.937,75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92806C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A2A7193" w14:textId="77777777" w:rsidR="00E44611" w:rsidRDefault="00846E2A">
      <w:pPr>
        <w:jc w:val="both"/>
      </w:pPr>
      <w:r>
        <w:t>U izvještajnom je razdoblju ostvarena donacija računalne opreme, a sredstvima ostvarenima od najma prostora i izdavanja duplikata u tekućoj poslovnoj godini je nabavljen i jedan klima uređaj. Prihodi za predmetnu dugotrajnu imovinu knjiženi su, sukladno pr</w:t>
      </w:r>
      <w:r>
        <w:t>avilima proračunskog računovodstva, na prihodima poslovanja, a, ovaj će, trenutno iskazani manjak prihoda od nefinancijske imovine, biti zatvoren per 31.12.2026. godine. </w:t>
      </w:r>
    </w:p>
    <w:p w14:paraId="3953D85D" w14:textId="77777777" w:rsidR="00E44611" w:rsidRDefault="00E44611"/>
    <w:p w14:paraId="60A037F5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586FCC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8F997A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FFD79B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F1991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84BBB9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227F33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769CF2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72185A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033E21" w14:textId="77777777" w:rsidR="00E44611" w:rsidRDefault="00E446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73567A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VIŠAK PRIHODA I PRIMITAKA (šifre X678-Y345)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C93BAC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X005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02F58C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92E150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3.644,67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A91CF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30AD182" w14:textId="77777777" w:rsidR="00E44611" w:rsidRDefault="00846E2A">
      <w:pPr>
        <w:jc w:val="both"/>
      </w:pPr>
      <w:r>
        <w:t xml:space="preserve">Per 30.06.2026. ostvaren je višak prihoda izvještajnog razdoblja kojega čine viškovi/metodološki manjkovi po izvorima financiranja kako slijedi: sufinanciranje rashoda za vježbe učenika - metodološki manjak (1.381,81), višak prihoda od izdavanja duplikata </w:t>
      </w:r>
      <w:r>
        <w:t>(176,64), MZOM - višak prihoda (8.010,59), sredstva decentralizacije - metodološki manjak (2.936,36) i financiranje pomoćnika u nastavi - metodološki manjak (224,39).  </w:t>
      </w:r>
    </w:p>
    <w:p w14:paraId="536D9E5F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09F23F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175AF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EC85E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D8D145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E1174F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482A55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CE9CE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71BEAD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68DC6A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ADCA56D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- preneseni (šifre '9221x,9222x MP' - '9221x,9222x VP' + 92223 - 92213)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C3150C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9222-9221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B4E04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BCD594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90.408,00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5A7EC8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2F1647B" w14:textId="77777777" w:rsidR="00E44611" w:rsidRDefault="00846E2A">
      <w:pPr>
        <w:jc w:val="both"/>
      </w:pPr>
      <w:r>
        <w:t>Iz 2025. godine prenesen je manjak prihoda poslovanja u iznosu od 90.408,00 eura. Isti čine metodološki manjak prihoda od PGŽ, a na ime rashoda za režije i plaću pomoćnika u nastavi za prosinac 2025. godine – 3.073,03 eura, višak prihoda za posebne namjene</w:t>
      </w:r>
      <w:r>
        <w:t xml:space="preserve"> (sufinanciranje od strane učenika) u iznosu od 1.397,89 eura te manjak prihoda od MZOM u visini od 88.732,86 eura, kojega čine metodološki manjak na ime rashoda za plaću i materijalnih prava za prosinac 2025. godine (90.608,36) i višak prihoda na ime sred</w:t>
      </w:r>
      <w:r>
        <w:t>stava doznačenih krajem 2025. godine za realizaciju projekata u 2026. godini (1.875,50).</w:t>
      </w:r>
    </w:p>
    <w:p w14:paraId="31A8B16E" w14:textId="77777777" w:rsidR="00E44611" w:rsidRDefault="00846E2A">
      <w:pPr>
        <w:jc w:val="both"/>
      </w:pPr>
      <w:r>
        <w:t>U izvještajnom je razdoblju metodološki manjak prihoda od PGŽ (3.073,03) pokriven redovnim prihodima u siječnju 2026. godine, višak prihoda za posebne namjene (1.397,8</w:t>
      </w:r>
      <w:r>
        <w:t>9) u cijelosti je utrošen, metodološki manjak prihoda od MZOM (90.608,36) pokriven je redovnim prihodima u siječnju 2026. godine, a višak prihoda za projekte (1.875,50) utrošen je namjenski i u cijelosti, sukladno odredbama Odluke Školskog odbora od 29.01.</w:t>
      </w:r>
      <w:r>
        <w:t>2026. godine.</w:t>
      </w:r>
    </w:p>
    <w:p w14:paraId="2FAB8E6C" w14:textId="77777777" w:rsidR="00E44611" w:rsidRDefault="00E44611"/>
    <w:p w14:paraId="63838752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30.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43E9F65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EB3692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95A74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FDEB3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7F223D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515440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1A1024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0BC44BE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9C4977" w14:textId="77777777" w:rsidR="00E44611" w:rsidRDefault="00E446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BB163F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Manjak prihoda i primitaka za pokriće u sljedećem razdoblju (šifre Y005 + </w:t>
            </w:r>
            <w:r>
              <w:rPr>
                <w:sz w:val="18"/>
              </w:rPr>
              <w:t>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515BB0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3723FD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80.584,02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6C6B77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86.763,33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6383CE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107,7</w:t>
            </w:r>
          </w:p>
        </w:tc>
      </w:tr>
    </w:tbl>
    <w:p w14:paraId="4B1C262C" w14:textId="77777777" w:rsidR="00E44611" w:rsidRDefault="00846E2A">
      <w:pPr>
        <w:jc w:val="both"/>
      </w:pPr>
      <w:r>
        <w:t>Per 30.06.2026. ostvareni manjak prihoda za pokriće u sljedećem razdoblju čine viškovi/metodološki manjkovi po izvorima financiranja kako slijedi: sufinanciranje rashoda za vježbe učenika - višak prihoda (16,08), višak prihoda od izdavanja duplikata (176,6</w:t>
      </w:r>
      <w:r>
        <w:t xml:space="preserve">4), MZOM - metodološki manjak prihod za plaće (81.928,27) i višak prihoda za zalihe menstrualnih higijenskih potrepština (1.206), sredstva decentralizacije - metodološki manjak (4.760,93) i financiranje pomoćnika u nastavi - metodološki manjak (1.472,85). </w:t>
      </w:r>
      <w:r>
        <w:t> </w:t>
      </w:r>
    </w:p>
    <w:p w14:paraId="11F147D8" w14:textId="77777777" w:rsidR="00E44611" w:rsidRDefault="00E44611"/>
    <w:p w14:paraId="705DE57C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31.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E44611" w14:paraId="30CCFC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39B2D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8ED86C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115371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AF655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90461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79CD7C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04A501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F3D92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4E9F509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novčanih sredstava na kraju izvještajnog razdoblja (šifre 11P + </w:t>
            </w:r>
            <w:r>
              <w:rPr>
                <w:sz w:val="18"/>
              </w:rPr>
              <w:t>'11-dugov.' - '11-potraž.')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6A42CC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11K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914E7F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1.674,49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7D356F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7787E5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CF808C1" w14:textId="77777777" w:rsidR="00E44611" w:rsidRDefault="00846E2A" w:rsidP="003C0003">
      <w:pPr>
        <w:jc w:val="both"/>
      </w:pPr>
      <w:r>
        <w:t>Dana 04.03.2026. je zatvoren poslovni račun Škole te su zatečena sredstva prebačena na poslovni račun osnivača.</w:t>
      </w:r>
    </w:p>
    <w:p w14:paraId="72748ACF" w14:textId="796B3D93" w:rsidR="00E44611" w:rsidRDefault="00E44611"/>
    <w:p w14:paraId="222634A7" w14:textId="77777777" w:rsidR="003C0003" w:rsidRDefault="003C0003"/>
    <w:p w14:paraId="7BFE17F7" w14:textId="77777777" w:rsidR="00E44611" w:rsidRDefault="00846E2A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14:paraId="5DEA46CE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32.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44611" w14:paraId="03501A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B3236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B2389A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3256DF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3B6436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800BC4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387BA4E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C1C13" w14:textId="77777777" w:rsidR="00E44611" w:rsidRDefault="00E446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9DC8AD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obveza na kraju </w:t>
            </w:r>
            <w:r>
              <w:rPr>
                <w:sz w:val="18"/>
              </w:rPr>
              <w:t>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87DC9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6E5DA9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C0DD7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4AF6E6C" w14:textId="77777777" w:rsidR="00E44611" w:rsidRDefault="00846E2A">
      <w:r>
        <w:t>Per 30.06.2026. u financijskim knjigama nema dospjelih obveza. </w:t>
      </w:r>
    </w:p>
    <w:p w14:paraId="392C1B66" w14:textId="77777777" w:rsidR="00E44611" w:rsidRDefault="00E44611"/>
    <w:p w14:paraId="6C23DCB0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33.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44611" w14:paraId="0E8C03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D6347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A77BB1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1138F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98421F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2D6BC3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0923E6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6133C0" w14:textId="77777777" w:rsidR="00E44611" w:rsidRDefault="00E4461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0B2504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Međusobne obveze subjekata općeg </w:t>
            </w:r>
            <w:r>
              <w:rPr>
                <w:sz w:val="18"/>
              </w:rPr>
              <w:t>proračuna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7E33E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F5A4BB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BD604A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C09797D" w14:textId="77777777" w:rsidR="00E44611" w:rsidRDefault="00846E2A">
      <w:r>
        <w:t>Međusobne obveze čini obveza povrata u državni proračun na ime bolovanja na teret HZZO-a, a za mjesec travanj 2026. godine.</w:t>
      </w:r>
    </w:p>
    <w:p w14:paraId="42869530" w14:textId="77777777" w:rsidR="00E44611" w:rsidRDefault="00E44611"/>
    <w:p w14:paraId="4016381E" w14:textId="77777777" w:rsidR="00E44611" w:rsidRDefault="00846E2A">
      <w:pPr>
        <w:keepNext/>
        <w:spacing w:line="240" w:lineRule="auto"/>
        <w:jc w:val="center"/>
      </w:pPr>
      <w:r>
        <w:rPr>
          <w:sz w:val="28"/>
        </w:rPr>
        <w:t>Bilješka 34.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E44611" w14:paraId="7F606F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739D08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5C1659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D21106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E3F1F7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C66D6B" w14:textId="77777777" w:rsidR="00E44611" w:rsidRDefault="00846E2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E44611" w14:paraId="3F9B4F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DBB5A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0F9483B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rashode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4E5CA" w14:textId="77777777" w:rsidR="00E44611" w:rsidRDefault="00846E2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ND23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002EA8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88.433,54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0AA650" w14:textId="77777777" w:rsidR="00E44611" w:rsidRDefault="00846E2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506B6CB" w14:textId="77777777" w:rsidR="00E44611" w:rsidRDefault="00846E2A">
      <w:r>
        <w:t>Nedospjele obveze odnose se na tekuće obveze iz poslovanja ove Škole (plaća, ugovor o djelu za vanjskog suradnika, režije i naknada za prijevoz na posao i s posla za mjesec lipanj).</w:t>
      </w:r>
    </w:p>
    <w:p w14:paraId="4D9F6994" w14:textId="2EBEB513" w:rsidR="00E44611" w:rsidRDefault="00E44611"/>
    <w:p w14:paraId="65355B8A" w14:textId="4B059B78" w:rsidR="003C0003" w:rsidRDefault="003C0003"/>
    <w:p w14:paraId="312A185F" w14:textId="36F5BCD2" w:rsidR="003C0003" w:rsidRDefault="003C0003"/>
    <w:p w14:paraId="0C5982A2" w14:textId="13A007BD" w:rsidR="003C0003" w:rsidRDefault="003C00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14:paraId="7D55A1B1" w14:textId="592900CE" w:rsidR="003C0003" w:rsidRDefault="003C0003"/>
    <w:p w14:paraId="1510C245" w14:textId="0485193F" w:rsidR="003C0003" w:rsidRDefault="003C000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Ana Pasarić, prof.</w:t>
      </w:r>
    </w:p>
    <w:p w14:paraId="012631E0" w14:textId="31540364" w:rsidR="003C0003" w:rsidRDefault="003C0003"/>
    <w:p w14:paraId="7F12E2D3" w14:textId="1294B9A5" w:rsidR="003C0003" w:rsidRDefault="003C0003"/>
    <w:p w14:paraId="6EA2A9E8" w14:textId="715D279C" w:rsidR="003C0003" w:rsidRDefault="003C0003"/>
    <w:p w14:paraId="1DC56F1B" w14:textId="1BCA5BA5" w:rsidR="003C0003" w:rsidRDefault="003C0003">
      <w:r>
        <w:t>Opatija, 14.07.2026.</w:t>
      </w:r>
    </w:p>
    <w:p w14:paraId="28EC3E3B" w14:textId="261828D3" w:rsidR="003C0003" w:rsidRDefault="003C0003">
      <w:r>
        <w:t>Klasa: 400-03/26-01/1</w:t>
      </w:r>
    </w:p>
    <w:p w14:paraId="07E2EAC4" w14:textId="5E972C38" w:rsidR="003C0003" w:rsidRDefault="003C0003">
      <w:proofErr w:type="spellStart"/>
      <w:r>
        <w:t>Urbroj</w:t>
      </w:r>
      <w:proofErr w:type="spellEnd"/>
      <w:r>
        <w:t>: 2156-17-01-4-26-1</w:t>
      </w:r>
    </w:p>
    <w:p w14:paraId="078D60F3" w14:textId="77777777" w:rsidR="00846E2A" w:rsidRDefault="00846E2A"/>
    <w:sectPr w:rsidR="00846E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611"/>
    <w:rsid w:val="003C0003"/>
    <w:rsid w:val="00846E2A"/>
    <w:rsid w:val="00964622"/>
    <w:rsid w:val="009F781C"/>
    <w:rsid w:val="00E4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92E7"/>
  <w15:docId w15:val="{D00FD903-2162-4705-91D2-C602A8A4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2769</Words>
  <Characters>15785</Characters>
  <Application>Microsoft Office Word</Application>
  <DocSecurity>0</DocSecurity>
  <Lines>131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Sanja</cp:lastModifiedBy>
  <cp:revision>4</cp:revision>
  <cp:lastPrinted>2026-07-14T12:23:00Z</cp:lastPrinted>
  <dcterms:created xsi:type="dcterms:W3CDTF">2026-07-14T12:06:00Z</dcterms:created>
  <dcterms:modified xsi:type="dcterms:W3CDTF">2026-07-14T12:27:00Z</dcterms:modified>
</cp:coreProperties>
</file>